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CC34" w14:textId="77777777" w:rsidR="00D84D3A" w:rsidRDefault="00774564">
      <w:pPr>
        <w:jc w:val="center"/>
      </w:pPr>
      <w:r>
        <w:rPr>
          <w:noProof/>
        </w:rPr>
        <w:drawing>
          <wp:inline distT="0" distB="0" distL="0" distR="0" wp14:anchorId="6E8DA044" wp14:editId="4A4A3A20">
            <wp:extent cx="1038225" cy="1247775"/>
            <wp:effectExtent l="0" t="0" r="0" b="0"/>
            <wp:docPr id="1" name="Рисунок 1" descr="blac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black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0D257" w14:textId="77777777" w:rsidR="00D84D3A" w:rsidRDefault="007745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Договір публічної оферти про надання благодійної пожертви</w:t>
      </w:r>
    </w:p>
    <w:p w14:paraId="10F21938" w14:textId="77777777" w:rsidR="00D84D3A" w:rsidRDefault="00774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Ця Публічна оферта про надання благодійної пожертви (надалі - Оферта) спрямована на невизначене коло фізичних осіб (надалі - Благодійник) та є публічною пропозицією НАЦІОНАЛЬНОГО </w:t>
      </w:r>
      <w:r>
        <w:rPr>
          <w:rFonts w:ascii="Times New Roman" w:hAnsi="Times New Roman" w:cs="Times New Roman"/>
          <w:sz w:val="26"/>
          <w:szCs w:val="26"/>
        </w:rPr>
        <w:t xml:space="preserve">КОМПЛЕКСУ «ЕКСПОЦЕНТР УКРАЇНИ», в особі Генерального директора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Мушкіна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Євгена Олександровича, якій діє на підставі Положення (надалі - ВДНГ), укласти договір щодо надання благодійної пожертви, на зазначених нижче умовах:</w:t>
      </w:r>
    </w:p>
    <w:p w14:paraId="32BE2301" w14:textId="77777777" w:rsidR="00D84D3A" w:rsidRDefault="0077456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ab/>
        <w:t>Поняття та визначення, що вживаю</w:t>
      </w:r>
      <w:r>
        <w:rPr>
          <w:rFonts w:ascii="Times New Roman" w:hAnsi="Times New Roman" w:cs="Times New Roman"/>
          <w:b/>
          <w:sz w:val="26"/>
          <w:szCs w:val="26"/>
        </w:rPr>
        <w:t>ться в Договорі</w:t>
      </w:r>
    </w:p>
    <w:p w14:paraId="4351B6E7" w14:textId="77777777" w:rsidR="00D84D3A" w:rsidRDefault="00774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Публічна оферта (та/або Оферта) - дійсна пропозиція ВДНГ, що розміщена на сайті: https://vdng.ua, про надання благодійної пожертви, спрямована на невизначене коло фізичних осіб.</w:t>
      </w:r>
    </w:p>
    <w:p w14:paraId="30E29815" w14:textId="77777777" w:rsidR="00D84D3A" w:rsidRDefault="00774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Акцепт - повне та безумовне прийняття Оферти шляхом вчинення д</w:t>
      </w:r>
      <w:r>
        <w:rPr>
          <w:rFonts w:ascii="Times New Roman" w:hAnsi="Times New Roman" w:cs="Times New Roman"/>
          <w:sz w:val="26"/>
          <w:szCs w:val="26"/>
        </w:rPr>
        <w:t>ій, спрямованих на здійснення грошового переказу за допомогою платіжних форм та засобів, так і шляхом перерахування грошових коштів на поточний рахунок ВДНГ через установи банків. Оферта вважається акцептованою з дати зарахування грошових коштів на поточни</w:t>
      </w:r>
      <w:r>
        <w:rPr>
          <w:rFonts w:ascii="Times New Roman" w:hAnsi="Times New Roman" w:cs="Times New Roman"/>
          <w:sz w:val="26"/>
          <w:szCs w:val="26"/>
        </w:rPr>
        <w:t>й рахунок ВДНГ.</w:t>
      </w:r>
    </w:p>
    <w:p w14:paraId="7FF12123" w14:textId="77777777" w:rsidR="00D84D3A" w:rsidRDefault="00774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Благодійна пожертва - безоплатна передача Благодійником коштів у власність ВДНГ, для наступного використання та досягнення цілей ВДНГ, відповідно до Положення про Національний комплекс «Експоцентр України» та цього Договору.</w:t>
      </w:r>
    </w:p>
    <w:p w14:paraId="60912ECE" w14:textId="77777777" w:rsidR="00D84D3A" w:rsidRDefault="00774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Благодійник - д</w:t>
      </w:r>
      <w:r>
        <w:rPr>
          <w:rFonts w:ascii="Times New Roman" w:hAnsi="Times New Roman" w:cs="Times New Roman"/>
          <w:sz w:val="26"/>
          <w:szCs w:val="26"/>
        </w:rPr>
        <w:t>ієздатна фізична особа, яка добровільно здійснює один чи декілька видів благодійної діяльності. Для цілей цього Договору Благодійником є фізична особа, яка акцептувала Оферту.</w:t>
      </w:r>
    </w:p>
    <w:p w14:paraId="3CBD6EAD" w14:textId="77777777" w:rsidR="00D84D3A" w:rsidRDefault="0077456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ab/>
        <w:t>Предмет Договору</w:t>
      </w:r>
    </w:p>
    <w:p w14:paraId="4A4BB485" w14:textId="77777777" w:rsidR="00D84D3A" w:rsidRDefault="00774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Предметом цього Договору є безоплатна та добровільна передач</w:t>
      </w:r>
      <w:r>
        <w:rPr>
          <w:rFonts w:ascii="Times New Roman" w:hAnsi="Times New Roman" w:cs="Times New Roman"/>
          <w:sz w:val="26"/>
          <w:szCs w:val="26"/>
        </w:rPr>
        <w:t>а Благодійником у власність ВДНГ грошових коштів шляхом здійснення благодійної пожертви на забезпечення діяльності ВДНГ.</w:t>
      </w:r>
    </w:p>
    <w:p w14:paraId="55592BB4" w14:textId="77777777" w:rsidR="00D84D3A" w:rsidRDefault="0077456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ab/>
        <w:t>Акцепт</w:t>
      </w:r>
    </w:p>
    <w:p w14:paraId="58EE8CFA" w14:textId="77777777" w:rsidR="00D84D3A" w:rsidRDefault="00774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Акцептом Оферти Благодійник зазначає, що він згоден із всіма умовами Оферти та розуміє та погоджується з тим, що пожертва буд</w:t>
      </w:r>
      <w:r>
        <w:rPr>
          <w:rFonts w:ascii="Times New Roman" w:hAnsi="Times New Roman" w:cs="Times New Roman"/>
          <w:sz w:val="26"/>
          <w:szCs w:val="26"/>
        </w:rPr>
        <w:t xml:space="preserve">е використана на досягнення цілей, передбачених Положенням ВДНГ, з яким він може ознайомитися, надіславши запит на електронну адресу </w:t>
      </w:r>
      <w:r>
        <w:rPr>
          <w:rFonts w:ascii="Times New Roman" w:hAnsi="Times New Roman" w:cs="Times New Roman"/>
          <w:sz w:val="26"/>
          <w:szCs w:val="26"/>
          <w:lang w:val="en-US"/>
        </w:rPr>
        <w:t>welcome</w:t>
      </w:r>
      <w:r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vdng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ua</w:t>
      </w:r>
      <w:proofErr w:type="spellEnd"/>
      <w:r>
        <w:rPr>
          <w:rFonts w:ascii="Times New Roman" w:hAnsi="Times New Roman" w:cs="Times New Roman"/>
          <w:sz w:val="26"/>
          <w:szCs w:val="26"/>
        </w:rPr>
        <w:t>. Крім того, Акцептом Оферти Благодійник повною мірою усвідомлює та згоден з предметом Договору, цілями та м</w:t>
      </w:r>
      <w:r>
        <w:rPr>
          <w:rFonts w:ascii="Times New Roman" w:hAnsi="Times New Roman" w:cs="Times New Roman"/>
          <w:sz w:val="26"/>
          <w:szCs w:val="26"/>
        </w:rPr>
        <w:t>етою публічного збору коштів.</w:t>
      </w:r>
    </w:p>
    <w:p w14:paraId="52A344EF" w14:textId="77777777" w:rsidR="00D84D3A" w:rsidRDefault="00774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Сторони погоджуються, що з моменту акцептування Оферти, цей Договір є укладеним в письмовій формі відповідно до статей 207, 639, 641 та 642 Цивільного кодексу України. При цьому сторони погоджуються, що після здійснення Акцепт</w:t>
      </w:r>
      <w:r>
        <w:rPr>
          <w:rFonts w:ascii="Times New Roman" w:hAnsi="Times New Roman" w:cs="Times New Roman"/>
          <w:sz w:val="26"/>
          <w:szCs w:val="26"/>
        </w:rPr>
        <w:t xml:space="preserve">у Оферти,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неукладення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цього Договору у вигляді окремого документа не тягне за собою недійсність цього Договору.</w:t>
      </w:r>
    </w:p>
    <w:p w14:paraId="5C98772A" w14:textId="77777777" w:rsidR="00D84D3A" w:rsidRDefault="0077456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Порядок перерахування благодійної пожертви</w:t>
      </w:r>
    </w:p>
    <w:p w14:paraId="60206723" w14:textId="77777777" w:rsidR="00D84D3A" w:rsidRDefault="00774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Благодійник для перерахування благодійної пожертви може:</w:t>
      </w:r>
    </w:p>
    <w:p w14:paraId="5621A499" w14:textId="77777777" w:rsidR="00D84D3A" w:rsidRDefault="00774564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роздрукувати </w:t>
      </w:r>
      <w:r>
        <w:rPr>
          <w:rFonts w:ascii="Times New Roman" w:hAnsi="Times New Roman" w:cs="Times New Roman"/>
          <w:sz w:val="26"/>
          <w:szCs w:val="26"/>
          <w:u w:val="single"/>
        </w:rPr>
        <w:t>квитанцію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здійснити грошо</w:t>
      </w:r>
      <w:r>
        <w:rPr>
          <w:rFonts w:ascii="Times New Roman" w:hAnsi="Times New Roman" w:cs="Times New Roman"/>
          <w:sz w:val="26"/>
          <w:szCs w:val="26"/>
        </w:rPr>
        <w:t xml:space="preserve">вий переказ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платiжними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реквiзитами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перерахування благодійної пожертви в гривнях:</w:t>
      </w:r>
    </w:p>
    <w:p w14:paraId="63B45739" w14:textId="77777777" w:rsidR="00D84D3A" w:rsidRDefault="00774564">
      <w:pPr>
        <w:pStyle w:val="ab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ru-RU"/>
        </w:rPr>
        <w:t>Отримувач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: </w:t>
      </w:r>
    </w:p>
    <w:p w14:paraId="7E76D815" w14:textId="07AC272C" w:rsidR="00774564" w:rsidRPr="00774564" w:rsidRDefault="00774564" w:rsidP="00774564">
      <w:pPr>
        <w:pStyle w:val="ab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77456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НК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«</w:t>
      </w:r>
      <w:proofErr w:type="spellStart"/>
      <w:r w:rsidRPr="00774564">
        <w:rPr>
          <w:rFonts w:ascii="Times New Roman" w:hAnsi="Times New Roman" w:cs="Times New Roman"/>
          <w:i/>
          <w:sz w:val="26"/>
          <w:szCs w:val="26"/>
          <w:lang w:val="ru-RU"/>
        </w:rPr>
        <w:t>Експоцентр</w:t>
      </w:r>
      <w:proofErr w:type="spellEnd"/>
      <w:r w:rsidRPr="0077456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proofErr w:type="spellStart"/>
      <w:r w:rsidRPr="00774564">
        <w:rPr>
          <w:rFonts w:ascii="Times New Roman" w:hAnsi="Times New Roman" w:cs="Times New Roman"/>
          <w:i/>
          <w:sz w:val="26"/>
          <w:szCs w:val="26"/>
          <w:lang w:val="ru-RU"/>
        </w:rPr>
        <w:t>Україн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и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ru-RU"/>
        </w:rPr>
        <w:t>»</w:t>
      </w:r>
      <w:r w:rsidRPr="00774564">
        <w:rPr>
          <w:rFonts w:ascii="Times New Roman" w:hAnsi="Times New Roman" w:cs="Times New Roman"/>
          <w:i/>
          <w:sz w:val="26"/>
          <w:szCs w:val="26"/>
          <w:lang w:val="ru-RU"/>
        </w:rPr>
        <w:t>;</w:t>
      </w:r>
    </w:p>
    <w:p w14:paraId="304C9045" w14:textId="77777777" w:rsidR="00774564" w:rsidRPr="00774564" w:rsidRDefault="00774564" w:rsidP="00774564">
      <w:pPr>
        <w:pStyle w:val="ab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774564">
        <w:rPr>
          <w:rFonts w:ascii="Times New Roman" w:hAnsi="Times New Roman" w:cs="Times New Roman"/>
          <w:i/>
          <w:sz w:val="26"/>
          <w:szCs w:val="26"/>
          <w:lang w:val="ru-RU"/>
        </w:rPr>
        <w:t>Код 21710384</w:t>
      </w:r>
    </w:p>
    <w:p w14:paraId="04477D9D" w14:textId="77777777" w:rsidR="00774564" w:rsidRPr="00774564" w:rsidRDefault="00774564" w:rsidP="00774564">
      <w:pPr>
        <w:pStyle w:val="ab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774564">
        <w:rPr>
          <w:rFonts w:ascii="Times New Roman" w:hAnsi="Times New Roman" w:cs="Times New Roman"/>
          <w:i/>
          <w:sz w:val="26"/>
          <w:szCs w:val="26"/>
          <w:lang w:val="ru-RU"/>
        </w:rPr>
        <w:t>Р/Р UA223220010000026003080000538</w:t>
      </w:r>
    </w:p>
    <w:p w14:paraId="45AA9BA5" w14:textId="77777777" w:rsidR="00774564" w:rsidRPr="00774564" w:rsidRDefault="00774564" w:rsidP="00774564">
      <w:pPr>
        <w:pStyle w:val="ab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774564">
        <w:rPr>
          <w:rFonts w:ascii="Times New Roman" w:hAnsi="Times New Roman" w:cs="Times New Roman"/>
          <w:i/>
          <w:sz w:val="26"/>
          <w:szCs w:val="26"/>
          <w:lang w:val="ru-RU"/>
        </w:rPr>
        <w:t>АТ “</w:t>
      </w:r>
      <w:proofErr w:type="spellStart"/>
      <w:r w:rsidRPr="00774564">
        <w:rPr>
          <w:rFonts w:ascii="Times New Roman" w:hAnsi="Times New Roman" w:cs="Times New Roman"/>
          <w:i/>
          <w:sz w:val="26"/>
          <w:szCs w:val="26"/>
          <w:lang w:val="ru-RU"/>
        </w:rPr>
        <w:t>Універсал</w:t>
      </w:r>
      <w:proofErr w:type="spellEnd"/>
      <w:r w:rsidRPr="0077456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Банк”</w:t>
      </w:r>
    </w:p>
    <w:p w14:paraId="3D21D7D7" w14:textId="77777777" w:rsidR="00774564" w:rsidRPr="00774564" w:rsidRDefault="00774564" w:rsidP="00774564">
      <w:pPr>
        <w:pStyle w:val="ab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77456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Адреса: 03127 м. </w:t>
      </w:r>
      <w:proofErr w:type="spellStart"/>
      <w:r w:rsidRPr="00774564">
        <w:rPr>
          <w:rFonts w:ascii="Times New Roman" w:hAnsi="Times New Roman" w:cs="Times New Roman"/>
          <w:i/>
          <w:sz w:val="26"/>
          <w:szCs w:val="26"/>
          <w:lang w:val="ru-RU"/>
        </w:rPr>
        <w:t>Київ</w:t>
      </w:r>
      <w:proofErr w:type="spellEnd"/>
      <w:r w:rsidRPr="0077456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проспект </w:t>
      </w:r>
      <w:proofErr w:type="spellStart"/>
      <w:r w:rsidRPr="00774564">
        <w:rPr>
          <w:rFonts w:ascii="Times New Roman" w:hAnsi="Times New Roman" w:cs="Times New Roman"/>
          <w:i/>
          <w:sz w:val="26"/>
          <w:szCs w:val="26"/>
          <w:lang w:val="ru-RU"/>
        </w:rPr>
        <w:t>Академіка</w:t>
      </w:r>
      <w:proofErr w:type="spellEnd"/>
      <w:r w:rsidRPr="0077456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Глушкова,1</w:t>
      </w:r>
    </w:p>
    <w:p w14:paraId="56623735" w14:textId="77777777" w:rsidR="00774564" w:rsidRPr="00774564" w:rsidRDefault="00774564" w:rsidP="00774564">
      <w:pPr>
        <w:pStyle w:val="ab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774564">
        <w:rPr>
          <w:rFonts w:ascii="Times New Roman" w:hAnsi="Times New Roman" w:cs="Times New Roman"/>
          <w:i/>
          <w:sz w:val="26"/>
          <w:szCs w:val="26"/>
          <w:lang w:val="ru-RU"/>
        </w:rPr>
        <w:t>067 557-16-81</w:t>
      </w:r>
    </w:p>
    <w:p w14:paraId="10ECDFDF" w14:textId="77777777" w:rsidR="00774564" w:rsidRPr="00774564" w:rsidRDefault="00774564" w:rsidP="00774564">
      <w:pPr>
        <w:pStyle w:val="ab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77456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номер </w:t>
      </w:r>
      <w:proofErr w:type="spellStart"/>
      <w:r w:rsidRPr="00774564">
        <w:rPr>
          <w:rFonts w:ascii="Times New Roman" w:hAnsi="Times New Roman" w:cs="Times New Roman"/>
          <w:i/>
          <w:sz w:val="26"/>
          <w:szCs w:val="26"/>
          <w:lang w:val="ru-RU"/>
        </w:rPr>
        <w:t>свідоцтва</w:t>
      </w:r>
      <w:proofErr w:type="spellEnd"/>
      <w:r w:rsidRPr="0077456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100269266</w:t>
      </w:r>
    </w:p>
    <w:p w14:paraId="79E39FD1" w14:textId="72676BE4" w:rsidR="00774564" w:rsidRDefault="00774564" w:rsidP="00774564">
      <w:pPr>
        <w:pStyle w:val="ab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774564">
        <w:rPr>
          <w:rFonts w:ascii="Times New Roman" w:hAnsi="Times New Roman" w:cs="Times New Roman"/>
          <w:i/>
          <w:sz w:val="26"/>
          <w:szCs w:val="26"/>
          <w:lang w:val="ru-RU"/>
        </w:rPr>
        <w:t>ІПН 217103826651</w:t>
      </w:r>
    </w:p>
    <w:p w14:paraId="04A310C7" w14:textId="77777777" w:rsidR="00774564" w:rsidRDefault="00774564" w:rsidP="00774564">
      <w:pPr>
        <w:pStyle w:val="ab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bookmarkStart w:id="0" w:name="_GoBack"/>
      <w:bookmarkEnd w:id="0"/>
    </w:p>
    <w:p w14:paraId="5D48D5CA" w14:textId="6082181B" w:rsidR="00D84D3A" w:rsidRDefault="00774564" w:rsidP="00774564">
      <w:pPr>
        <w:pStyle w:val="ab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Призначення платежу: «Благодійна пожертва на забезпечення діяльності ВДНГ згідно умов Договору </w:t>
      </w:r>
      <w:r>
        <w:rPr>
          <w:rFonts w:ascii="Times New Roman" w:hAnsi="Times New Roman" w:cs="Times New Roman"/>
          <w:i/>
          <w:sz w:val="26"/>
          <w:szCs w:val="26"/>
        </w:rPr>
        <w:t>публічної оферти від 15.0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i/>
          <w:sz w:val="26"/>
          <w:szCs w:val="26"/>
        </w:rPr>
        <w:t>.2019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р. Без ПДВ»</w:t>
      </w:r>
    </w:p>
    <w:p w14:paraId="4E3E8431" w14:textId="77777777" w:rsidR="00D84D3A" w:rsidRDefault="00D84D3A">
      <w:pPr>
        <w:pStyle w:val="ab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F623586" w14:textId="77777777" w:rsidR="00D84D3A" w:rsidRDefault="0077456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заповненні платіжного документа у графі «Код платника» фізичною особою – ідентифікаційний код, а при його відсутності, у зв’язку з релігійними переконаннями, зазначаються його паспортні дані. </w:t>
      </w:r>
    </w:p>
    <w:p w14:paraId="05AC3AD6" w14:textId="77777777" w:rsidR="00D84D3A" w:rsidRDefault="00D84D3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14:paraId="3B59DF76" w14:textId="77777777" w:rsidR="00D84D3A" w:rsidRDefault="00774564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здійснити гро</w:t>
      </w:r>
      <w:r>
        <w:rPr>
          <w:rFonts w:ascii="Times New Roman" w:hAnsi="Times New Roman" w:cs="Times New Roman"/>
          <w:sz w:val="26"/>
          <w:szCs w:val="26"/>
        </w:rPr>
        <w:t xml:space="preserve">шовий переказ на сайті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zminy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vdng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ua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14:paraId="01DE82CB" w14:textId="77777777" w:rsidR="00D84D3A" w:rsidRDefault="00774564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здійснити грошовий переказ на благодійному вході «Вхід до змін».</w:t>
      </w:r>
    </w:p>
    <w:p w14:paraId="504C5FD1" w14:textId="77777777" w:rsidR="00D84D3A" w:rsidRDefault="0077456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ВДНГ має право:</w:t>
      </w:r>
    </w:p>
    <w:p w14:paraId="1D04A601" w14:textId="77777777" w:rsidR="00D84D3A" w:rsidRDefault="00774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отримувати благодійні пожертви та використовувати їх відповідно до предмету та умов цього Договору та своєї діяльності, передбаченої</w:t>
      </w:r>
      <w:r>
        <w:rPr>
          <w:rFonts w:ascii="Times New Roman" w:hAnsi="Times New Roman" w:cs="Times New Roman"/>
          <w:sz w:val="26"/>
          <w:szCs w:val="26"/>
        </w:rPr>
        <w:t xml:space="preserve"> Положенням.</w:t>
      </w:r>
    </w:p>
    <w:p w14:paraId="56612D02" w14:textId="77777777" w:rsidR="00D84D3A" w:rsidRDefault="0077456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ВДНГ зобов’язаний:</w:t>
      </w:r>
    </w:p>
    <w:p w14:paraId="69088BDA" w14:textId="77777777" w:rsidR="00D84D3A" w:rsidRDefault="00774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використовувати отримані пожертви виключно для досягнення цілей, передбачених Положенням про Національний комплекс «Експоцентр України».</w:t>
      </w:r>
    </w:p>
    <w:p w14:paraId="07EA1A24" w14:textId="77777777" w:rsidR="00D84D3A" w:rsidRDefault="0077456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</w:rPr>
        <w:tab/>
        <w:t>Місце проведення публічного збирання коштів</w:t>
      </w:r>
    </w:p>
    <w:p w14:paraId="3AF998CA" w14:textId="77777777" w:rsidR="00D84D3A" w:rsidRDefault="00774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Публічне збирання коштів благодійної п</w:t>
      </w:r>
      <w:r>
        <w:rPr>
          <w:rFonts w:ascii="Times New Roman" w:hAnsi="Times New Roman" w:cs="Times New Roman"/>
          <w:sz w:val="26"/>
          <w:szCs w:val="26"/>
        </w:rPr>
        <w:t>ожертви здійснюється на території будь-якої країни світу. Безпосередня діяльність ВДНГ, що стосується досягнення цілей, передбачених Положенням, здійснюється на території Україні (за виключенням тимчасово окупованих територіях України та районів проведення</w:t>
      </w:r>
      <w:r>
        <w:rPr>
          <w:rFonts w:ascii="Times New Roman" w:hAnsi="Times New Roman" w:cs="Times New Roman"/>
          <w:sz w:val="26"/>
          <w:szCs w:val="26"/>
        </w:rPr>
        <w:t xml:space="preserve"> операцій об’єднаних сил).</w:t>
      </w:r>
    </w:p>
    <w:p w14:paraId="146762B0" w14:textId="77777777" w:rsidR="00D84D3A" w:rsidRDefault="0077456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b/>
          <w:sz w:val="26"/>
          <w:szCs w:val="26"/>
        </w:rPr>
        <w:tab/>
        <w:t>Строк збирання коштів</w:t>
      </w:r>
    </w:p>
    <w:p w14:paraId="5D41C397" w14:textId="77777777" w:rsidR="00D84D3A" w:rsidRDefault="00774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Публічний збір коштів триває до моменту припинення діяльності ВДНГ, якщо інший строк не буде визначений рішенням ВДНГ, про що Благодійник буде повідомлений шляхом розміщення відповідної інформації на сайті: </w:t>
      </w:r>
      <w:hyperlink r:id="rId6">
        <w:r>
          <w:rPr>
            <w:rStyle w:val="a3"/>
            <w:rFonts w:ascii="Times New Roman" w:hAnsi="Times New Roman" w:cs="Times New Roman"/>
            <w:sz w:val="26"/>
            <w:szCs w:val="26"/>
          </w:rPr>
          <w:t>https://vdng.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ua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14:paraId="3EF966E6" w14:textId="77777777" w:rsidR="00D84D3A" w:rsidRDefault="0077456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</w:t>
      </w:r>
      <w:r>
        <w:rPr>
          <w:rFonts w:ascii="Times New Roman" w:hAnsi="Times New Roman" w:cs="Times New Roman"/>
          <w:b/>
          <w:sz w:val="26"/>
          <w:szCs w:val="26"/>
        </w:rPr>
        <w:tab/>
        <w:t>Порядок використання благодійних пожертв</w:t>
      </w:r>
    </w:p>
    <w:p w14:paraId="00ED66BE" w14:textId="77777777" w:rsidR="00D84D3A" w:rsidRDefault="00774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Використання благодійних пожертв здійснюється відповідно до цілей, визначених Положенням про Національний комплекс «Експоцентр України» та чинним законодавством України.</w:t>
      </w:r>
    </w:p>
    <w:p w14:paraId="2E8B2AB1" w14:textId="77777777" w:rsidR="00D84D3A" w:rsidRDefault="00774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ВДНГ використовує благодійні пожертви </w:t>
      </w:r>
      <w:r>
        <w:rPr>
          <w:rFonts w:ascii="Times New Roman" w:hAnsi="Times New Roman" w:cs="Times New Roman"/>
          <w:sz w:val="26"/>
          <w:szCs w:val="26"/>
        </w:rPr>
        <w:t>відповідно до своєї діяльності, передбаченої  Положенням. Отримані ВДНГ благодійні пожертви можуть бути повернені Благодійнику виключно у випадках, передбачених законодавством України та цим Договором.</w:t>
      </w:r>
    </w:p>
    <w:p w14:paraId="2BF18D76" w14:textId="77777777" w:rsidR="00D84D3A" w:rsidRDefault="0077456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Відповідальність ВДНГ </w:t>
      </w:r>
    </w:p>
    <w:p w14:paraId="6CCCBFF1" w14:textId="77777777" w:rsidR="00D84D3A" w:rsidRDefault="00774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ВДНГ несе відповідальність з</w:t>
      </w:r>
      <w:r>
        <w:rPr>
          <w:rFonts w:ascii="Times New Roman" w:hAnsi="Times New Roman" w:cs="Times New Roman"/>
          <w:sz w:val="26"/>
          <w:szCs w:val="26"/>
        </w:rPr>
        <w:t>а порушення умов цього Договору та використання благодійних пожертв всупереч Положенню та законодавству України, відповідно до чинного законодавства України.</w:t>
      </w:r>
    </w:p>
    <w:p w14:paraId="05EC8178" w14:textId="77777777" w:rsidR="00D84D3A" w:rsidRDefault="0077456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Порядок загального доступу до інформації ВДНГ </w:t>
      </w:r>
    </w:p>
    <w:p w14:paraId="5D2F8CAB" w14:textId="77777777" w:rsidR="00D84D3A" w:rsidRDefault="00774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Річна фінансова звітність ВДНГ оприлюднюється ш</w:t>
      </w:r>
      <w:r>
        <w:rPr>
          <w:rFonts w:ascii="Times New Roman" w:hAnsi="Times New Roman" w:cs="Times New Roman"/>
          <w:sz w:val="26"/>
          <w:szCs w:val="26"/>
        </w:rPr>
        <w:t>ляхом розміщення на сайті: https://vdng.ua щорічно до 30 квітня року, наступного за звітним.</w:t>
      </w:r>
    </w:p>
    <w:p w14:paraId="04345F2E" w14:textId="77777777" w:rsidR="00D84D3A" w:rsidRDefault="00774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Інша інформація розкривається ВДНГ в порядку та в обсягах, передбачених законодавством України.</w:t>
      </w:r>
    </w:p>
    <w:p w14:paraId="68342021" w14:textId="77777777" w:rsidR="00D84D3A" w:rsidRDefault="0077456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</w:t>
      </w:r>
      <w:r>
        <w:rPr>
          <w:rFonts w:ascii="Times New Roman" w:hAnsi="Times New Roman" w:cs="Times New Roman"/>
          <w:b/>
          <w:sz w:val="26"/>
          <w:szCs w:val="26"/>
        </w:rPr>
        <w:tab/>
        <w:t>Витрати</w:t>
      </w:r>
    </w:p>
    <w:p w14:paraId="32C18993" w14:textId="77777777" w:rsidR="00D84D3A" w:rsidRDefault="00774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Витрати, пов’язані з перерахуванням благодійних пожертв</w:t>
      </w:r>
      <w:r>
        <w:rPr>
          <w:rFonts w:ascii="Times New Roman" w:hAnsi="Times New Roman" w:cs="Times New Roman"/>
          <w:sz w:val="26"/>
          <w:szCs w:val="26"/>
        </w:rPr>
        <w:t xml:space="preserve"> (комісії за перерахування коштів тощо) несе Благодійник.</w:t>
      </w:r>
    </w:p>
    <w:p w14:paraId="45C7A258" w14:textId="77777777" w:rsidR="00D84D3A" w:rsidRDefault="0077456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</w:t>
      </w:r>
      <w:r>
        <w:rPr>
          <w:rFonts w:ascii="Times New Roman" w:hAnsi="Times New Roman" w:cs="Times New Roman"/>
          <w:b/>
          <w:sz w:val="26"/>
          <w:szCs w:val="26"/>
        </w:rPr>
        <w:tab/>
        <w:t>Порядок загального доступу до інформації Благодійника</w:t>
      </w:r>
    </w:p>
    <w:p w14:paraId="16ABF0EC" w14:textId="77777777" w:rsidR="00D84D3A" w:rsidRDefault="00774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Шляхом акцептування Оферти Благодійник підтверджує, що він ознайомлений з Додатком 1 до цього Договору та надає свою згоду на збір, обробку </w:t>
      </w:r>
      <w:r>
        <w:rPr>
          <w:rFonts w:ascii="Times New Roman" w:hAnsi="Times New Roman" w:cs="Times New Roman"/>
          <w:sz w:val="26"/>
          <w:szCs w:val="26"/>
        </w:rPr>
        <w:t>та використання персональних даних в порядку, передбаченому Додатком 1 до цього Договору та чинним законодавством України.</w:t>
      </w:r>
    </w:p>
    <w:p w14:paraId="5D46573D" w14:textId="77777777" w:rsidR="00D84D3A" w:rsidRDefault="007745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цьому, ВДНГ зобов’язується не надавати інформацію про контактні дані Благодійника третім особам, крім випадків, прямо передбачени</w:t>
      </w:r>
      <w:r>
        <w:rPr>
          <w:rFonts w:ascii="Times New Roman" w:hAnsi="Times New Roman" w:cs="Times New Roman"/>
          <w:sz w:val="26"/>
          <w:szCs w:val="26"/>
        </w:rPr>
        <w:t xml:space="preserve">х законодавством України. Крім того, Благодійник надає свою згоду, що інформація про нього (зокрема, прізвище, ім’я, по батькові) може бути використана (виключно за його додатковою згодою) ВДНГ в засобах масової інформації або на сайті ВДНГ: </w:t>
      </w:r>
      <w:hyperlink r:id="rId7">
        <w:r>
          <w:rPr>
            <w:rStyle w:val="a3"/>
            <w:rFonts w:ascii="Times New Roman" w:hAnsi="Times New Roman" w:cs="Times New Roman"/>
            <w:sz w:val="26"/>
            <w:szCs w:val="26"/>
          </w:rPr>
          <w:t>https://vdng.ua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sectPr w:rsidR="00D84D3A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32C38"/>
    <w:multiLevelType w:val="multilevel"/>
    <w:tmpl w:val="4F62ECA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3F3649"/>
    <w:multiLevelType w:val="multilevel"/>
    <w:tmpl w:val="AA282A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3A"/>
    <w:rsid w:val="00774564"/>
    <w:rsid w:val="008C58E7"/>
    <w:rsid w:val="00D8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7C23"/>
  <w15:docId w15:val="{2B56942E-0ED1-44AA-A680-2761BF9A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E74"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A07B0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qFormat/>
    <w:rsid w:val="00A07B08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A07B08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A07B08"/>
    <w:rPr>
      <w:b/>
      <w:bCs/>
      <w:sz w:val="20"/>
      <w:szCs w:val="20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6C1E74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A07B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annotation text"/>
    <w:basedOn w:val="a"/>
    <w:uiPriority w:val="99"/>
    <w:semiHidden/>
    <w:unhideWhenUsed/>
    <w:qFormat/>
    <w:rsid w:val="00A07B08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A0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dn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dng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5308</Characters>
  <Application>Microsoft Office Word</Application>
  <DocSecurity>0</DocSecurity>
  <Lines>221</Lines>
  <Paragraphs>80</Paragraphs>
  <ScaleCrop>false</ScaleCrop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Пивничук Л.И.</dc:creator>
  <dc:description/>
  <cp:lastModifiedBy>Виктория Лымарь</cp:lastModifiedBy>
  <cp:revision>3</cp:revision>
  <dcterms:created xsi:type="dcterms:W3CDTF">2023-11-13T14:45:00Z</dcterms:created>
  <dcterms:modified xsi:type="dcterms:W3CDTF">2023-11-13T14:48:00Z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